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797E21" w:rsidP="0016710E">
      <w:pPr>
        <w:shd w:val="clear" w:color="auto" w:fill="FFFFFF" w:themeFill="background1"/>
        <w:ind w:left="10915" w:firstLine="1"/>
        <w:jc w:val="center"/>
      </w:pPr>
      <w:bookmarkStart w:id="0" w:name="_GoBack"/>
      <w:bookmarkEnd w:id="0"/>
      <w:r>
        <w:t xml:space="preserve"> </w:t>
      </w:r>
      <w:r w:rsidR="00025468">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797E21">
        <w:t>Пермского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E3133">
        <w:t xml:space="preserve"> 22.06.2018 </w:t>
      </w:r>
      <w:r w:rsidR="00197593">
        <w:t xml:space="preserve">№ </w:t>
      </w:r>
      <w:r w:rsidR="001E3133">
        <w:t>184-п</w:t>
      </w:r>
    </w:p>
    <w:p w:rsidR="00D85F0A" w:rsidRDefault="00D85F0A" w:rsidP="00196B28">
      <w:pPr>
        <w:shd w:val="clear" w:color="auto" w:fill="FFFFFF" w:themeFill="background1"/>
        <w:ind w:firstLine="708"/>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797E21" w:rsidRDefault="00797E21"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Пермскому краю </w:t>
      </w:r>
      <w:r w:rsidR="003B5AB7">
        <w:rPr>
          <w:b/>
          <w:sz w:val="28"/>
          <w:szCs w:val="28"/>
        </w:rPr>
        <w:t>по противодействию коррупции</w:t>
      </w:r>
    </w:p>
    <w:p w:rsidR="001244E1" w:rsidRPr="001244E1" w:rsidRDefault="003B5AB7" w:rsidP="003B5AB7">
      <w:pPr>
        <w:shd w:val="clear" w:color="auto" w:fill="FFFFFF" w:themeFill="background1"/>
        <w:ind w:firstLine="708"/>
        <w:jc w:val="center"/>
        <w:rPr>
          <w:b/>
          <w:sz w:val="28"/>
          <w:szCs w:val="28"/>
        </w:rPr>
      </w:pPr>
      <w:r>
        <w:rPr>
          <w:b/>
          <w:sz w:val="28"/>
          <w:szCs w:val="28"/>
        </w:rPr>
        <w:t>на 2018 – 2019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797E21">
              <w:rPr>
                <w:b/>
              </w:rPr>
              <w:t>Пермского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797E21">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797E21">
              <w:t>и</w:t>
            </w:r>
            <w:r w:rsidRPr="00DB74CD">
              <w:t xml:space="preserve"> </w:t>
            </w:r>
            <w:r w:rsidR="00797E21">
              <w:t>Пермского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797E21" w:rsidP="00DB74CD">
            <w:pPr>
              <w:shd w:val="clear" w:color="auto" w:fill="FFFFFF" w:themeFill="background1"/>
              <w:jc w:val="center"/>
            </w:pPr>
            <w:r>
              <w:t>Председатель Комиссии</w:t>
            </w:r>
          </w:p>
          <w:p w:rsidR="00A02E4C" w:rsidRPr="00DB74CD" w:rsidRDefault="00A02E4C" w:rsidP="00797E21">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797E21">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797E21">
              <w:t>Пермского У</w:t>
            </w:r>
            <w:r w:rsidR="00FF45AA" w:rsidRPr="00DB74CD">
              <w:t xml:space="preserve">ФАС России </w:t>
            </w:r>
            <w:r>
              <w:t xml:space="preserve">(далее </w:t>
            </w:r>
            <w:r w:rsidR="00797E21">
              <w:t>– гражданские служащие</w:t>
            </w:r>
            <w:r>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DB74CD" w:rsidTr="00E25694">
        <w:trPr>
          <w:jc w:val="center"/>
        </w:trPr>
        <w:tc>
          <w:tcPr>
            <w:tcW w:w="704" w:type="dxa"/>
          </w:tcPr>
          <w:p w:rsidR="003569CD" w:rsidRPr="00DB74CD" w:rsidRDefault="0029637E" w:rsidP="00797E21">
            <w:pPr>
              <w:shd w:val="clear" w:color="auto" w:fill="FFFFFF" w:themeFill="background1"/>
              <w:spacing w:before="120" w:after="120"/>
              <w:jc w:val="center"/>
            </w:pPr>
            <w:r>
              <w:t>1.</w:t>
            </w:r>
            <w:r w:rsidR="00797E21">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797E21">
              <w:t>.</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797E21" w:rsidRDefault="00797E21" w:rsidP="00DB74CD">
            <w:pPr>
              <w:shd w:val="clear" w:color="auto" w:fill="FFFFFF" w:themeFill="background1"/>
              <w:jc w:val="center"/>
            </w:pPr>
            <w:r w:rsidRPr="00797E21">
              <w:t>Ответственные за работу по профилактике коррупционных и иных правонарушений</w:t>
            </w:r>
            <w:r w:rsidRPr="00797E21">
              <w:rPr>
                <w:color w:val="000000"/>
              </w:rPr>
              <w:t> </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724DFD">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724DFD" w:rsidP="00DB74CD">
            <w:pPr>
              <w:shd w:val="clear" w:color="auto" w:fill="FFFFFF" w:themeFill="background1"/>
              <w:spacing w:before="120" w:after="120"/>
              <w:jc w:val="center"/>
            </w:pPr>
            <w:r>
              <w:t>1.3</w:t>
            </w:r>
            <w:r w:rsidR="00AE766B">
              <w:t>.</w:t>
            </w:r>
          </w:p>
        </w:tc>
        <w:tc>
          <w:tcPr>
            <w:tcW w:w="6184" w:type="dxa"/>
          </w:tcPr>
          <w:p w:rsidR="00AE766B" w:rsidRDefault="00AE766B" w:rsidP="00724DF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w:t>
            </w:r>
            <w:r w:rsidR="005218A5">
              <w:lastRenderedPageBreak/>
              <w:t xml:space="preserve">сведений на официальном сайте </w:t>
            </w:r>
            <w:r w:rsidR="00724DFD">
              <w:t>Пермского У</w:t>
            </w:r>
            <w:r w:rsidR="005218A5">
              <w:t>ФАС России</w:t>
            </w:r>
            <w:r w:rsidR="002067BA">
              <w:t xml:space="preserve"> в соответствии с Перечн</w:t>
            </w:r>
            <w:r w:rsidR="00724DFD">
              <w:t>ем</w:t>
            </w:r>
            <w:r w:rsidR="002067BA">
              <w:t xml:space="preserve"> должностей, замещение которых влечет за собой размещение на официальном сайте </w:t>
            </w:r>
            <w:r w:rsidR="00724DFD">
              <w:t>Пермского У</w:t>
            </w:r>
            <w:r w:rsidR="002067BA">
              <w:t>ФАС России.</w:t>
            </w:r>
          </w:p>
        </w:tc>
        <w:tc>
          <w:tcPr>
            <w:tcW w:w="2321" w:type="dxa"/>
          </w:tcPr>
          <w:p w:rsidR="00B0379B" w:rsidRDefault="00724DFD" w:rsidP="00DB74CD">
            <w:pPr>
              <w:shd w:val="clear" w:color="auto" w:fill="FFFFFF" w:themeFill="background1"/>
              <w:jc w:val="center"/>
            </w:pPr>
            <w:r w:rsidRPr="00797E21">
              <w:lastRenderedPageBreak/>
              <w:t xml:space="preserve">Ответственные за работу по профилактике </w:t>
            </w:r>
            <w:r w:rsidRPr="00797E21">
              <w:lastRenderedPageBreak/>
              <w:t>коррупционных и иных правонарушений</w:t>
            </w:r>
            <w:r>
              <w:rPr>
                <w:color w:val="000000"/>
              </w:rPr>
              <w:t>, пресс-секретарь</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со дня </w:t>
            </w:r>
            <w:r>
              <w:lastRenderedPageBreak/>
              <w:t>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w:t>
            </w:r>
            <w:r>
              <w:lastRenderedPageBreak/>
              <w:t xml:space="preserve">правонарушений в </w:t>
            </w:r>
            <w:r w:rsidR="00724DFD">
              <w:t>Пермском У</w:t>
            </w:r>
            <w:r>
              <w:t>ФАС России.</w:t>
            </w:r>
          </w:p>
        </w:tc>
      </w:tr>
      <w:tr w:rsidR="005218A5" w:rsidRPr="00DB74CD" w:rsidTr="00E25694">
        <w:trPr>
          <w:jc w:val="center"/>
        </w:trPr>
        <w:tc>
          <w:tcPr>
            <w:tcW w:w="704" w:type="dxa"/>
          </w:tcPr>
          <w:p w:rsidR="005218A5" w:rsidRDefault="0029637E" w:rsidP="00724DFD">
            <w:pPr>
              <w:shd w:val="clear" w:color="auto" w:fill="FFFFFF" w:themeFill="background1"/>
              <w:spacing w:before="120" w:after="120"/>
              <w:jc w:val="center"/>
            </w:pPr>
            <w:r>
              <w:lastRenderedPageBreak/>
              <w:t>1.</w:t>
            </w:r>
            <w:r w:rsidR="00724DFD">
              <w:t>4</w:t>
            </w:r>
            <w:r w:rsidR="005218A5">
              <w:t>.</w:t>
            </w:r>
          </w:p>
        </w:tc>
        <w:tc>
          <w:tcPr>
            <w:tcW w:w="6184" w:type="dxa"/>
          </w:tcPr>
          <w:p w:rsidR="005218A5" w:rsidRDefault="005218A5" w:rsidP="00724DFD">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724DFD">
              <w:t>Пермского У</w:t>
            </w:r>
            <w:r>
              <w:t>ФАС России.</w:t>
            </w:r>
          </w:p>
        </w:tc>
        <w:tc>
          <w:tcPr>
            <w:tcW w:w="2321" w:type="dxa"/>
          </w:tcPr>
          <w:p w:rsidR="00B0379B" w:rsidRDefault="00724DFD"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724DFD">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724DFD">
            <w:pPr>
              <w:shd w:val="clear" w:color="auto" w:fill="FFFFFF" w:themeFill="background1"/>
              <w:spacing w:before="120" w:after="120"/>
              <w:jc w:val="center"/>
            </w:pPr>
            <w:r>
              <w:t>1.</w:t>
            </w:r>
            <w:r w:rsidR="00724DFD">
              <w:t>5</w:t>
            </w:r>
            <w:r w:rsidR="00B0379B">
              <w:t>.</w:t>
            </w:r>
          </w:p>
        </w:tc>
        <w:tc>
          <w:tcPr>
            <w:tcW w:w="6184" w:type="dxa"/>
          </w:tcPr>
          <w:p w:rsidR="00B0379B" w:rsidRDefault="0029637E" w:rsidP="00724DFD">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724DFD">
              <w:t>Пермского У</w:t>
            </w:r>
            <w:r w:rsidR="00B0379B">
              <w:t>ФАС России</w:t>
            </w:r>
            <w:r w:rsidR="00724DFD">
              <w:t>.</w:t>
            </w:r>
          </w:p>
        </w:tc>
        <w:tc>
          <w:tcPr>
            <w:tcW w:w="2321" w:type="dxa"/>
          </w:tcPr>
          <w:p w:rsidR="00B0379B" w:rsidRDefault="00724DFD" w:rsidP="00CA2C84">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724DFD">
            <w:pPr>
              <w:shd w:val="clear" w:color="auto" w:fill="FFFFFF" w:themeFill="background1"/>
              <w:ind w:right="-108"/>
              <w:jc w:val="both"/>
            </w:pPr>
            <w: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724DFD">
            <w:pPr>
              <w:shd w:val="clear" w:color="auto" w:fill="FFFFFF" w:themeFill="background1"/>
              <w:spacing w:before="120" w:after="120"/>
              <w:jc w:val="center"/>
            </w:pPr>
            <w:r>
              <w:t>1.</w:t>
            </w:r>
            <w:r w:rsidR="00724DFD">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724DFD">
              <w:t>Пермского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724DFD" w:rsidP="00B0379B">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724DFD">
            <w:pPr>
              <w:shd w:val="clear" w:color="auto" w:fill="FFFFFF" w:themeFill="background1"/>
              <w:spacing w:before="120" w:after="120"/>
              <w:jc w:val="center"/>
            </w:pPr>
            <w:r>
              <w:t>1.</w:t>
            </w:r>
            <w:r w:rsidR="00724DFD">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Pr="00DB74CD" w:rsidRDefault="00724DFD" w:rsidP="006A7BEE">
            <w:pPr>
              <w:shd w:val="clear" w:color="auto" w:fill="FFFFFF" w:themeFill="background1"/>
              <w:jc w:val="center"/>
            </w:pPr>
            <w:r w:rsidRPr="00797E21">
              <w:t xml:space="preserve">Ответственные за работу по профилактике коррупционных и </w:t>
            </w:r>
            <w:r w:rsidRPr="00797E21">
              <w:lastRenderedPageBreak/>
              <w:t>иных правонарушений</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В случаях установления фактов нарушений принятие своевременных и действенных </w:t>
            </w:r>
            <w:r>
              <w:rPr>
                <w:rFonts w:ascii="Times New Roman" w:hAnsi="Times New Roman" w:cs="Times New Roman"/>
                <w:sz w:val="24"/>
                <w:szCs w:val="24"/>
              </w:rPr>
              <w:lastRenderedPageBreak/>
              <w:t>мер</w:t>
            </w:r>
          </w:p>
        </w:tc>
      </w:tr>
      <w:tr w:rsidR="00FF45AA" w:rsidRPr="00DB74CD" w:rsidTr="00E25694">
        <w:trPr>
          <w:jc w:val="center"/>
        </w:trPr>
        <w:tc>
          <w:tcPr>
            <w:tcW w:w="704" w:type="dxa"/>
          </w:tcPr>
          <w:p w:rsidR="00FF45AA" w:rsidRPr="00DB74CD" w:rsidRDefault="008A1066" w:rsidP="00724DFD">
            <w:pPr>
              <w:shd w:val="clear" w:color="auto" w:fill="FFFFFF" w:themeFill="background1"/>
              <w:jc w:val="center"/>
            </w:pPr>
            <w:r>
              <w:lastRenderedPageBreak/>
              <w:t>1.</w:t>
            </w:r>
            <w:r w:rsidR="00724DFD">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724DFD">
              <w:t>Пермского У</w:t>
            </w:r>
            <w:r w:rsidRPr="00DB74CD">
              <w:t>ФАС России обязанности по уведомлению о выполнении иной оплачиваемой работы</w:t>
            </w:r>
          </w:p>
        </w:tc>
        <w:tc>
          <w:tcPr>
            <w:tcW w:w="2321" w:type="dxa"/>
          </w:tcPr>
          <w:p w:rsidR="00FF45AA" w:rsidRPr="00DB74CD" w:rsidRDefault="00724DFD"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724DFD">
              <w:rPr>
                <w:rFonts w:ascii="Times New Roman" w:hAnsi="Times New Roman" w:cs="Times New Roman"/>
                <w:sz w:val="24"/>
                <w:szCs w:val="24"/>
              </w:rPr>
              <w:t>Пермского У</w:t>
            </w:r>
            <w:r>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4DFD">
            <w:pPr>
              <w:shd w:val="clear" w:color="auto" w:fill="FFFFFF" w:themeFill="background1"/>
              <w:jc w:val="center"/>
            </w:pPr>
            <w:r w:rsidRPr="00DB74CD">
              <w:t>1.</w:t>
            </w:r>
            <w:r w:rsidR="00724DFD">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724DFD">
              <w:t>Пермского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724DFD"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724DFD">
              <w:rPr>
                <w:rFonts w:ascii="Times New Roman" w:hAnsi="Times New Roman" w:cs="Times New Roman"/>
                <w:sz w:val="24"/>
                <w:szCs w:val="24"/>
              </w:rPr>
              <w:t>Пермского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FF45AA" w:rsidRPr="00DB74CD" w:rsidTr="00724DFD">
        <w:trPr>
          <w:trHeight w:val="304"/>
          <w:jc w:val="center"/>
        </w:trPr>
        <w:tc>
          <w:tcPr>
            <w:tcW w:w="704" w:type="dxa"/>
          </w:tcPr>
          <w:p w:rsidR="000B5723" w:rsidRDefault="00724DFD" w:rsidP="005B7212">
            <w:pPr>
              <w:shd w:val="clear" w:color="auto" w:fill="FFFFFF" w:themeFill="background1"/>
              <w:jc w:val="center"/>
            </w:pPr>
            <w:r>
              <w:t>1.10</w:t>
            </w:r>
            <w:r w:rsidR="00C0378F">
              <w:t>.</w:t>
            </w:r>
          </w:p>
          <w:p w:rsidR="00FF45AA" w:rsidRPr="00DB74CD" w:rsidRDefault="00FF45AA" w:rsidP="005B7212">
            <w:pPr>
              <w:shd w:val="clear" w:color="auto" w:fill="FFFFFF" w:themeFill="background1"/>
              <w:jc w:val="center"/>
            </w:pPr>
          </w:p>
        </w:tc>
        <w:tc>
          <w:tcPr>
            <w:tcW w:w="6184" w:type="dxa"/>
          </w:tcPr>
          <w:p w:rsidR="00FF45AA" w:rsidRPr="00DB74CD" w:rsidRDefault="00FF45AA" w:rsidP="00724DFD">
            <w:pPr>
              <w:shd w:val="clear" w:color="auto" w:fill="FFFFFF" w:themeFill="background1"/>
              <w:autoSpaceDE w:val="0"/>
              <w:autoSpaceDN w:val="0"/>
              <w:adjustRightInd w:val="0"/>
              <w:jc w:val="both"/>
            </w:pPr>
            <w:r w:rsidRPr="00DB74CD">
              <w:t>Проведение работы по выявлению случаев воз</w:t>
            </w:r>
            <w:r w:rsidR="00724DFD">
              <w:t xml:space="preserve">никновения конфликта интересов у гражданских служащих Пермского УФАС России </w:t>
            </w:r>
            <w:r w:rsidRPr="00DB74CD">
              <w:t xml:space="preserve">и осуществление мер по предотвращению и урегулированию конфликта интересов, а также применение мер ответственности, </w:t>
            </w:r>
            <w:r w:rsidRPr="00DB74CD">
              <w:lastRenderedPageBreak/>
              <w:t>предусмотренных законод</w:t>
            </w:r>
            <w:r w:rsidR="00C0378F">
              <w:t>ательством Российской Федерации.</w:t>
            </w:r>
          </w:p>
        </w:tc>
        <w:tc>
          <w:tcPr>
            <w:tcW w:w="2321" w:type="dxa"/>
          </w:tcPr>
          <w:p w:rsidR="002E54A9" w:rsidRDefault="00724DFD" w:rsidP="00666106">
            <w:pPr>
              <w:shd w:val="clear" w:color="auto" w:fill="FFFFFF" w:themeFill="background1"/>
              <w:jc w:val="center"/>
            </w:pPr>
            <w:r w:rsidRPr="00797E21">
              <w:lastRenderedPageBreak/>
              <w:t xml:space="preserve">Ответственные за работу по профилактике коррупционных и иных </w:t>
            </w:r>
            <w:r w:rsidRPr="00797E21">
              <w:lastRenderedPageBreak/>
              <w:t>правонарушений</w:t>
            </w:r>
          </w:p>
          <w:p w:rsidR="00FF45AA" w:rsidRPr="00DB74CD" w:rsidRDefault="00FF45AA" w:rsidP="00BA5126">
            <w:pPr>
              <w:shd w:val="clear" w:color="auto" w:fill="FFFFFF" w:themeFill="background1"/>
              <w:jc w:val="center"/>
            </w:pPr>
          </w:p>
        </w:tc>
        <w:tc>
          <w:tcPr>
            <w:tcW w:w="1701" w:type="dxa"/>
          </w:tcPr>
          <w:p w:rsidR="00FF45AA" w:rsidRDefault="00FF45AA" w:rsidP="00DB74CD">
            <w:pPr>
              <w:shd w:val="clear" w:color="auto" w:fill="FFFFFF" w:themeFill="background1"/>
              <w:jc w:val="center"/>
            </w:pPr>
            <w:r>
              <w:lastRenderedPageBreak/>
              <w:t>В течение всего периода</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p>
        </w:tc>
        <w:tc>
          <w:tcPr>
            <w:tcW w:w="4678" w:type="dxa"/>
          </w:tcPr>
          <w:p w:rsidR="009A09A9" w:rsidRDefault="009A09A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Профилактика возникновения конфликта интересов.</w:t>
            </w:r>
          </w:p>
          <w:p w:rsidR="009A09A9" w:rsidRPr="00DB74CD" w:rsidRDefault="009A09A9" w:rsidP="00DB1FB6">
            <w:pPr>
              <w:pStyle w:val="ConsPlusNonformat"/>
              <w:shd w:val="clear" w:color="auto" w:fill="FFFFFF" w:themeFill="background1"/>
              <w:jc w:val="both"/>
            </w:pPr>
            <w:r>
              <w:rPr>
                <w:rFonts w:ascii="Times New Roman" w:hAnsi="Times New Roman" w:cs="Times New Roman"/>
                <w:sz w:val="24"/>
                <w:szCs w:val="24"/>
              </w:rPr>
              <w:t>При необходимости п</w:t>
            </w:r>
            <w:r w:rsidR="00FF45AA" w:rsidRPr="00DB74CD">
              <w:rPr>
                <w:rFonts w:ascii="Times New Roman" w:hAnsi="Times New Roman" w:cs="Times New Roman"/>
                <w:sz w:val="24"/>
                <w:szCs w:val="24"/>
              </w:rPr>
              <w:t xml:space="preserve">роведение проверок в порядке, предусмотренном нормативными правовыми актами </w:t>
            </w:r>
            <w:r w:rsidR="00FF45AA" w:rsidRPr="00DB74CD">
              <w:rPr>
                <w:rFonts w:ascii="Times New Roman" w:hAnsi="Times New Roman" w:cs="Times New Roman"/>
                <w:sz w:val="24"/>
                <w:szCs w:val="24"/>
              </w:rPr>
              <w:lastRenderedPageBreak/>
              <w:t>Российской Федерации.</w:t>
            </w:r>
          </w:p>
        </w:tc>
      </w:tr>
      <w:tr w:rsidR="00FF45AA" w:rsidRPr="00625A0B" w:rsidTr="00E25694">
        <w:trPr>
          <w:jc w:val="center"/>
        </w:trPr>
        <w:tc>
          <w:tcPr>
            <w:tcW w:w="704" w:type="dxa"/>
          </w:tcPr>
          <w:p w:rsidR="00FF45AA" w:rsidRPr="00DB74CD" w:rsidRDefault="0008474D" w:rsidP="006E03E9">
            <w:pPr>
              <w:shd w:val="clear" w:color="auto" w:fill="FFFFFF" w:themeFill="background1"/>
              <w:jc w:val="center"/>
            </w:pPr>
            <w:r>
              <w:lastRenderedPageBreak/>
              <w:t>1.1</w:t>
            </w:r>
            <w:r w:rsidR="006E03E9">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6E03E9">
              <w:t>Пермского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FF45AA" w:rsidRPr="00DB74CD" w:rsidRDefault="006E03E9" w:rsidP="00B03D9C">
            <w:pPr>
              <w:shd w:val="clear" w:color="auto" w:fill="FFFFFF" w:themeFill="background1"/>
              <w:jc w:val="center"/>
            </w:pPr>
            <w:r w:rsidRPr="00797E21">
              <w:t>Ответственные за работу по профилактике коррупционных и иных правонарушений</w:t>
            </w:r>
            <w:r w:rsidRPr="00DB74CD">
              <w:t xml:space="preserve"> </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6E03E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Ознакомление с </w:t>
            </w:r>
            <w:r w:rsidR="00FF45AA">
              <w:rPr>
                <w:rFonts w:ascii="Times New Roman" w:hAnsi="Times New Roman" w:cs="Times New Roman"/>
                <w:sz w:val="24"/>
                <w:szCs w:val="24"/>
              </w:rPr>
              <w:t>методически</w:t>
            </w:r>
            <w:r>
              <w:rPr>
                <w:rFonts w:ascii="Times New Roman" w:hAnsi="Times New Roman" w:cs="Times New Roman"/>
                <w:sz w:val="24"/>
                <w:szCs w:val="24"/>
              </w:rPr>
              <w:t>ми</w:t>
            </w:r>
            <w:r w:rsidR="00FF45AA">
              <w:rPr>
                <w:rFonts w:ascii="Times New Roman" w:hAnsi="Times New Roman" w:cs="Times New Roman"/>
                <w:sz w:val="24"/>
                <w:szCs w:val="24"/>
              </w:rPr>
              <w:t xml:space="preserve"> материал</w:t>
            </w:r>
            <w:r>
              <w:rPr>
                <w:rFonts w:ascii="Times New Roman" w:hAnsi="Times New Roman" w:cs="Times New Roman"/>
                <w:sz w:val="24"/>
                <w:szCs w:val="24"/>
              </w:rPr>
              <w:t>ами</w:t>
            </w:r>
            <w:r w:rsidR="00FF45AA">
              <w:rPr>
                <w:rFonts w:ascii="Times New Roman" w:hAnsi="Times New Roman" w:cs="Times New Roman"/>
                <w:sz w:val="24"/>
                <w:szCs w:val="24"/>
              </w:rPr>
              <w:t>, разъяснени</w:t>
            </w:r>
            <w:r>
              <w:rPr>
                <w:rFonts w:ascii="Times New Roman" w:hAnsi="Times New Roman" w:cs="Times New Roman"/>
                <w:sz w:val="24"/>
                <w:szCs w:val="24"/>
              </w:rPr>
              <w:t>ями</w:t>
            </w:r>
            <w:r w:rsidR="00FF45AA">
              <w:rPr>
                <w:rFonts w:ascii="Times New Roman" w:hAnsi="Times New Roman" w:cs="Times New Roman"/>
                <w:sz w:val="24"/>
                <w:szCs w:val="24"/>
              </w:rPr>
              <w:t>.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6E03E9">
            <w:pPr>
              <w:shd w:val="clear" w:color="auto" w:fill="FFFFFF" w:themeFill="background1"/>
              <w:jc w:val="center"/>
            </w:pPr>
            <w:r>
              <w:t>1.</w:t>
            </w:r>
            <w:r w:rsidR="006307BD">
              <w:t>1</w:t>
            </w:r>
            <w:r w:rsidR="006E03E9">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6E03E9"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006E03E9">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6E03E9">
            <w:pPr>
              <w:shd w:val="clear" w:color="auto" w:fill="FFFFFF" w:themeFill="background1"/>
              <w:jc w:val="center"/>
            </w:pPr>
            <w:r>
              <w:t>1.</w:t>
            </w:r>
            <w:r w:rsidR="006307BD">
              <w:t>1</w:t>
            </w:r>
            <w:r w:rsidR="006E03E9">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6E03E9">
              <w:t>Пермского У</w:t>
            </w:r>
            <w:r w:rsidRPr="00DB74CD">
              <w:t>ФАС России, в должностные обязанности которых входит участие в противодействии коррупции</w:t>
            </w:r>
          </w:p>
        </w:tc>
        <w:tc>
          <w:tcPr>
            <w:tcW w:w="2321" w:type="dxa"/>
          </w:tcPr>
          <w:p w:rsidR="00FF45AA" w:rsidRPr="00DB74CD" w:rsidRDefault="006E03E9"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w:t>
            </w:r>
            <w:r w:rsidR="006E03E9">
              <w:t>Пермского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EE556A" w:rsidTr="00E25694">
        <w:trPr>
          <w:jc w:val="center"/>
        </w:trPr>
        <w:tc>
          <w:tcPr>
            <w:tcW w:w="704" w:type="dxa"/>
          </w:tcPr>
          <w:p w:rsidR="00FF45AA" w:rsidRDefault="00801A94" w:rsidP="006E03E9">
            <w:pPr>
              <w:shd w:val="clear" w:color="auto" w:fill="FFFFFF" w:themeFill="background1"/>
              <w:jc w:val="center"/>
            </w:pPr>
            <w:r>
              <w:t>1.1</w:t>
            </w:r>
            <w:r w:rsidR="006E03E9">
              <w:t>4</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о даче согласия на замещение в организации должности на условиях гражданско-</w:t>
            </w:r>
            <w:r>
              <w:lastRenderedPageBreak/>
              <w:t xml:space="preserve">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6E03E9" w:rsidP="00867F0C">
            <w:pPr>
              <w:shd w:val="clear" w:color="auto" w:fill="FFFFFF" w:themeFill="background1"/>
              <w:jc w:val="center"/>
            </w:pPr>
            <w:r w:rsidRPr="00797E21">
              <w:lastRenderedPageBreak/>
              <w:t xml:space="preserve">Ответственные за работу по профилактике </w:t>
            </w:r>
            <w:r w:rsidRPr="00797E21">
              <w:lastRenderedPageBreak/>
              <w:t>коррупционных и иных правонарушений</w:t>
            </w:r>
          </w:p>
        </w:tc>
        <w:tc>
          <w:tcPr>
            <w:tcW w:w="1701" w:type="dxa"/>
          </w:tcPr>
          <w:p w:rsidR="00FF45AA" w:rsidRDefault="00FF45AA" w:rsidP="00DB74CD">
            <w:pPr>
              <w:shd w:val="clear" w:color="auto" w:fill="FFFFFF" w:themeFill="background1"/>
              <w:jc w:val="center"/>
            </w:pPr>
            <w:r>
              <w:lastRenderedPageBreak/>
              <w:t>В течение всего периода</w:t>
            </w:r>
          </w:p>
        </w:tc>
        <w:tc>
          <w:tcPr>
            <w:tcW w:w="4678" w:type="dxa"/>
          </w:tcPr>
          <w:p w:rsidR="00FF45AA" w:rsidRDefault="00FF45AA" w:rsidP="00DB74CD">
            <w:pPr>
              <w:shd w:val="clear" w:color="auto" w:fill="FFFFFF" w:themeFill="background1"/>
              <w:jc w:val="both"/>
            </w:pPr>
            <w:r>
              <w:t>Учет и рассмотрение Комисси</w:t>
            </w:r>
            <w:r w:rsidR="006E03E9">
              <w:t>ей</w:t>
            </w:r>
            <w:r>
              <w:t xml:space="preserve"> поступающих обращений </w:t>
            </w:r>
            <w:r w:rsidR="00801A94">
              <w:t xml:space="preserve">от гражданских служащих и </w:t>
            </w:r>
            <w:r>
              <w:t xml:space="preserve">от бывших гражданских </w:t>
            </w:r>
            <w:r>
              <w:lastRenderedPageBreak/>
              <w:t>служащих</w:t>
            </w:r>
            <w:r w:rsidR="00801A94">
              <w:t>.</w:t>
            </w:r>
          </w:p>
          <w:p w:rsidR="00FF45AA" w:rsidRDefault="00720AAF" w:rsidP="006E03E9">
            <w:pPr>
              <w:shd w:val="clear" w:color="auto" w:fill="FFFFFF" w:themeFill="background1"/>
            </w:pPr>
            <w:r>
              <w:t>У</w:t>
            </w:r>
            <w:r w:rsidR="00FF45AA">
              <w:t xml:space="preserve">чет и рассмотрение </w:t>
            </w:r>
            <w:r w:rsidR="00801A94">
              <w:t>Комисси</w:t>
            </w:r>
            <w:r w:rsidR="006E03E9">
              <w:t>ей</w:t>
            </w:r>
            <w:r w:rsidR="00801A94">
              <w:t xml:space="preserve">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6E03E9">
              <w:rPr>
                <w:b/>
              </w:rPr>
              <w:t>Пермского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EC51D8">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6E03E9">
              <w:t>Пермского У</w:t>
            </w:r>
            <w:r>
              <w:t>ФАС России контрольно-надзорных функций, утвержденного приказом ФАС России от 28.12.2017 № 1837/17.</w:t>
            </w:r>
          </w:p>
        </w:tc>
        <w:tc>
          <w:tcPr>
            <w:tcW w:w="2321" w:type="dxa"/>
          </w:tcPr>
          <w:p w:rsidR="0094412F" w:rsidRDefault="00EC51D8" w:rsidP="00EC51D8">
            <w:pPr>
              <w:shd w:val="clear" w:color="auto" w:fill="FFFFFF" w:themeFill="background1"/>
              <w:jc w:val="center"/>
            </w:pPr>
            <w:r>
              <w:t>С</w:t>
            </w:r>
            <w:r w:rsidRPr="00EC51D8">
              <w:t>труктурные подразделения</w:t>
            </w:r>
            <w:r>
              <w:t xml:space="preserve"> </w:t>
            </w:r>
            <w:r w:rsidR="006E03E9">
              <w:t>Пермского У</w:t>
            </w:r>
            <w:r>
              <w:t>ФАС России</w:t>
            </w:r>
          </w:p>
          <w:p w:rsidR="00EC51D8" w:rsidRPr="00EC51D8" w:rsidRDefault="006E03E9" w:rsidP="00EC51D8">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6E03E9">
              <w:t>Пермского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94412F" w:rsidRPr="00EC51D8" w:rsidRDefault="008F6303" w:rsidP="006E03E9">
            <w:pPr>
              <w:shd w:val="clear" w:color="auto" w:fill="FFFFFF" w:themeFill="background1"/>
              <w:jc w:val="both"/>
            </w:pPr>
            <w:r>
              <w:t xml:space="preserve">Минимизация коррупционных рисков при исполнении гражданскими служащими </w:t>
            </w:r>
            <w:r w:rsidR="006E03E9">
              <w:t>Пермского У</w:t>
            </w:r>
            <w:r>
              <w:t>ФАС России контрольно-надзорных функций.</w:t>
            </w:r>
          </w:p>
        </w:tc>
      </w:tr>
      <w:tr w:rsidR="008C6B80" w:rsidRPr="00DB74CD" w:rsidTr="0018154C">
        <w:trPr>
          <w:jc w:val="center"/>
        </w:trPr>
        <w:tc>
          <w:tcPr>
            <w:tcW w:w="704" w:type="dxa"/>
          </w:tcPr>
          <w:p w:rsidR="008C6B80" w:rsidRDefault="008C6B80" w:rsidP="006E03E9">
            <w:pPr>
              <w:shd w:val="clear" w:color="auto" w:fill="FFFFFF" w:themeFill="background1"/>
              <w:jc w:val="center"/>
            </w:pPr>
            <w:r>
              <w:t>2.</w:t>
            </w:r>
            <w:r w:rsidR="006E03E9">
              <w:t>2</w:t>
            </w:r>
            <w:r w:rsidR="0043122A">
              <w:t>.</w:t>
            </w:r>
          </w:p>
        </w:tc>
        <w:tc>
          <w:tcPr>
            <w:tcW w:w="6184" w:type="dxa"/>
          </w:tcPr>
          <w:p w:rsidR="008C6B80" w:rsidRDefault="008C6B80" w:rsidP="00EC51D8">
            <w:pPr>
              <w:shd w:val="clear" w:color="auto" w:fill="FFFFFF" w:themeFill="background1"/>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6E03E9">
              <w:t>Пермском У</w:t>
            </w:r>
            <w:r w:rsidRPr="00DB74CD">
              <w:t>ФАС России</w:t>
            </w:r>
          </w:p>
        </w:tc>
        <w:tc>
          <w:tcPr>
            <w:tcW w:w="2321" w:type="dxa"/>
          </w:tcPr>
          <w:p w:rsidR="008C6B80" w:rsidRDefault="008C6B80" w:rsidP="008C6B80">
            <w:pPr>
              <w:shd w:val="clear" w:color="auto" w:fill="FFFFFF" w:themeFill="background1"/>
              <w:jc w:val="center"/>
            </w:pPr>
            <w:r>
              <w:t xml:space="preserve">Структурные подразделения </w:t>
            </w:r>
            <w:r w:rsidR="006E03E9">
              <w:t>Пермского У</w:t>
            </w:r>
            <w:r>
              <w:t xml:space="preserve">ФАС России </w:t>
            </w:r>
          </w:p>
          <w:p w:rsidR="008C6B80" w:rsidRDefault="006E03E9" w:rsidP="00EC51D8">
            <w:pPr>
              <w:shd w:val="clear" w:color="auto" w:fill="FFFFFF" w:themeFill="background1"/>
              <w:jc w:val="center"/>
            </w:pPr>
            <w:r w:rsidRPr="00797E21">
              <w:t>Ответственные за работу по профилактике коррупционных и иных правонарушений</w:t>
            </w:r>
            <w:r>
              <w:t xml:space="preserve"> </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Участие в мероприятиях по вопросам противодействия коррупции.</w:t>
            </w:r>
          </w:p>
          <w:p w:rsidR="008C6B80" w:rsidRDefault="008C6B80" w:rsidP="006E03E9">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rsidR="006E03E9">
              <w:t xml:space="preserve"> </w:t>
            </w:r>
            <w:r w:rsidRPr="00DB74CD">
              <w:t xml:space="preserve">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w:t>
            </w:r>
            <w:r w:rsidRPr="00DB74CD">
              <w:lastRenderedPageBreak/>
              <w:t>об имеющихся у них сведениях</w:t>
            </w:r>
            <w:r>
              <w:t>.</w:t>
            </w:r>
          </w:p>
        </w:tc>
      </w:tr>
      <w:tr w:rsidR="008C6B80" w:rsidRPr="00DB74CD" w:rsidTr="0018154C">
        <w:trPr>
          <w:jc w:val="center"/>
        </w:trPr>
        <w:tc>
          <w:tcPr>
            <w:tcW w:w="704" w:type="dxa"/>
          </w:tcPr>
          <w:p w:rsidR="008C6B80" w:rsidRDefault="006E03E9" w:rsidP="00DB74CD">
            <w:pPr>
              <w:shd w:val="clear" w:color="auto" w:fill="FFFFFF" w:themeFill="background1"/>
              <w:jc w:val="center"/>
            </w:pPr>
            <w:r>
              <w:lastRenderedPageBreak/>
              <w:t>2.3</w:t>
            </w:r>
            <w:r w:rsidR="0043122A">
              <w:t>.</w:t>
            </w:r>
          </w:p>
        </w:tc>
        <w:tc>
          <w:tcPr>
            <w:tcW w:w="6184" w:type="dxa"/>
          </w:tcPr>
          <w:p w:rsidR="008C6B80" w:rsidRPr="00DB74CD" w:rsidRDefault="008C6B80" w:rsidP="00EC51D8">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r w:rsidR="006E03E9">
              <w:t>Пермского У</w:t>
            </w:r>
            <w:r>
              <w:t>ФАС России по осуществлению закупок для государственных нужд, и устранение выявленных коррупционных рисков</w:t>
            </w:r>
          </w:p>
        </w:tc>
        <w:tc>
          <w:tcPr>
            <w:tcW w:w="2321" w:type="dxa"/>
          </w:tcPr>
          <w:p w:rsidR="006E03E9" w:rsidRDefault="006E03E9" w:rsidP="008C6B80">
            <w:pPr>
              <w:shd w:val="clear" w:color="auto" w:fill="FFFFFF" w:themeFill="background1"/>
              <w:jc w:val="center"/>
            </w:pPr>
            <w:r>
              <w:t>Структурные подразделения Пермского УФАС России</w:t>
            </w:r>
          </w:p>
          <w:p w:rsidR="008C6B80" w:rsidRDefault="006E03E9" w:rsidP="006E03E9">
            <w:pPr>
              <w:shd w:val="clear" w:color="auto" w:fill="FFFFFF" w:themeFill="background1"/>
              <w:jc w:val="center"/>
            </w:pPr>
            <w:r w:rsidRPr="00797E21">
              <w:t>Ответственные за работу по профилактике коррупционных и иных правонарушений</w:t>
            </w:r>
            <w:r>
              <w:t xml:space="preserve"> </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6E03E9">
              <w:t>Пермского У</w:t>
            </w:r>
            <w:r>
              <w:t>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6E03E9">
              <w:rPr>
                <w:b/>
              </w:rPr>
              <w:t>Пермского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6E03E9">
              <w:rPr>
                <w:b/>
              </w:rPr>
              <w:t>Пермского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6E03E9">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6E03E9">
              <w:t>Пермского У</w:t>
            </w:r>
            <w:r w:rsidRPr="00DB74CD">
              <w:t>ФАС России</w:t>
            </w:r>
            <w:r>
              <w:t xml:space="preserve"> в сети Интернет </w:t>
            </w:r>
            <w:r w:rsidRPr="00DB74CD">
              <w:t xml:space="preserve">информации об антикоррупционной деятельности </w:t>
            </w:r>
            <w:r w:rsidR="006E03E9">
              <w:t>Пермского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6E03E9" w:rsidP="00DB74CD">
            <w:pPr>
              <w:shd w:val="clear" w:color="auto" w:fill="FFFFFF" w:themeFill="background1"/>
              <w:jc w:val="center"/>
            </w:pPr>
            <w:r w:rsidRPr="00797E21">
              <w:t>Ответственные за работу по профилактике коррупционных и иных правонарушений</w:t>
            </w:r>
            <w:r>
              <w:t>, пресс-секретарь</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6E03E9" w:rsidP="00DB74CD">
            <w:pPr>
              <w:shd w:val="clear" w:color="auto" w:fill="FFFFFF" w:themeFill="background1"/>
              <w:jc w:val="center"/>
            </w:pPr>
            <w:r>
              <w:t>3.2</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Обобщение практики рассмотрения полученных в разных формах обращений граждан и организаций по фактам проявления коррупции в </w:t>
            </w:r>
            <w:r w:rsidR="006E03E9">
              <w:t>Пермском У</w:t>
            </w:r>
            <w:r w:rsidRPr="00DB74CD">
              <w:t>ФАС России и повышение результативности и эффективности этой работы</w:t>
            </w:r>
            <w:r>
              <w:t>.</w:t>
            </w:r>
          </w:p>
        </w:tc>
        <w:tc>
          <w:tcPr>
            <w:tcW w:w="2321" w:type="dxa"/>
          </w:tcPr>
          <w:p w:rsidR="00FF45AA" w:rsidRPr="00DB74CD" w:rsidRDefault="006E03E9" w:rsidP="00DB74CD">
            <w:pPr>
              <w:shd w:val="clear" w:color="auto" w:fill="FFFFFF" w:themeFill="background1"/>
              <w:jc w:val="center"/>
            </w:pPr>
            <w:r w:rsidRPr="00797E21">
              <w:t>Ответственные за работу по профилактике коррупционных и иных правонарушений</w:t>
            </w:r>
            <w:r w:rsidRPr="00DB74CD">
              <w:t xml:space="preserve"> </w:t>
            </w: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6E03E9" w:rsidP="00DB74CD">
            <w:pPr>
              <w:shd w:val="clear" w:color="auto" w:fill="FFFFFF" w:themeFill="background1"/>
              <w:jc w:val="center"/>
            </w:pPr>
            <w:r>
              <w:t>3.3</w:t>
            </w:r>
            <w:r w:rsidR="00FF45AA" w:rsidRPr="00DB74CD">
              <w:t>.</w:t>
            </w:r>
          </w:p>
        </w:tc>
        <w:tc>
          <w:tcPr>
            <w:tcW w:w="6184" w:type="dxa"/>
          </w:tcPr>
          <w:p w:rsidR="00FF45AA" w:rsidRPr="00DB74CD" w:rsidRDefault="00FF45AA" w:rsidP="006E03E9">
            <w:pPr>
              <w:shd w:val="clear" w:color="auto" w:fill="FFFFFF" w:themeFill="background1"/>
              <w:autoSpaceDE w:val="0"/>
              <w:autoSpaceDN w:val="0"/>
              <w:adjustRightInd w:val="0"/>
              <w:jc w:val="both"/>
              <w:rPr>
                <w:b/>
                <w:i/>
              </w:rPr>
            </w:pPr>
            <w:r w:rsidRPr="00DB74CD">
              <w:t xml:space="preserve">Обеспечение эффективного взаимодействия </w:t>
            </w:r>
            <w:r w:rsidR="006E03E9">
              <w:t>Пермского У</w:t>
            </w:r>
            <w:r w:rsidRPr="00DB74CD">
              <w:t>ФАС России с институтами гражданского общества по вопросам противодействия коррупции</w:t>
            </w:r>
            <w:r w:rsidR="00B73567">
              <w:t xml:space="preserve">, в том числе с </w:t>
            </w:r>
            <w:r w:rsidR="00B73567">
              <w:lastRenderedPageBreak/>
              <w:t>общественными объединениями, уставной задачей которых является участие в работе по противодействию коррупции</w:t>
            </w:r>
            <w:r w:rsidR="00333FF1">
              <w:t>.</w:t>
            </w:r>
          </w:p>
        </w:tc>
        <w:tc>
          <w:tcPr>
            <w:tcW w:w="2321" w:type="dxa"/>
          </w:tcPr>
          <w:p w:rsidR="00FF45AA" w:rsidRPr="00DB74CD" w:rsidRDefault="006E03E9" w:rsidP="00DB74CD">
            <w:pPr>
              <w:shd w:val="clear" w:color="auto" w:fill="FFFFFF" w:themeFill="background1"/>
              <w:jc w:val="center"/>
              <w:rPr>
                <w:i/>
              </w:rPr>
            </w:pPr>
            <w:r w:rsidRPr="00797E21">
              <w:lastRenderedPageBreak/>
              <w:t xml:space="preserve">Ответственные за работу по профилактике </w:t>
            </w:r>
            <w:r w:rsidRPr="00797E21">
              <w:lastRenderedPageBreak/>
              <w:t>коррупционных и иных правонарушений</w:t>
            </w:r>
          </w:p>
        </w:tc>
        <w:tc>
          <w:tcPr>
            <w:tcW w:w="1701" w:type="dxa"/>
          </w:tcPr>
          <w:p w:rsidR="00FF45AA" w:rsidRDefault="00FF45AA" w:rsidP="00063DCA">
            <w:pPr>
              <w:shd w:val="clear" w:color="auto" w:fill="FFFFFF" w:themeFill="background1"/>
            </w:pPr>
            <w:r>
              <w:lastRenderedPageBreak/>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lastRenderedPageBreak/>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6E03E9" w:rsidP="00DB74CD">
            <w:pPr>
              <w:shd w:val="clear" w:color="auto" w:fill="FFFFFF" w:themeFill="background1"/>
              <w:jc w:val="center"/>
            </w:pPr>
            <w:r>
              <w:lastRenderedPageBreak/>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6E03E9">
              <w:t>Пермского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6E03E9">
              <w:t>в Пермском У</w:t>
            </w:r>
            <w:r w:rsidRPr="00DB74CD">
              <w:t>ФАС России</w:t>
            </w:r>
          </w:p>
        </w:tc>
        <w:tc>
          <w:tcPr>
            <w:tcW w:w="2321" w:type="dxa"/>
          </w:tcPr>
          <w:p w:rsidR="00B73567" w:rsidRPr="00DB74CD" w:rsidRDefault="006E03E9" w:rsidP="00063DCA">
            <w:pPr>
              <w:shd w:val="clear" w:color="auto" w:fill="FFFFFF" w:themeFill="background1"/>
              <w:ind w:left="-164"/>
              <w:jc w:val="center"/>
            </w:pPr>
            <w:r>
              <w:t>Пресс-секретарь</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6E03E9">
            <w:pPr>
              <w:shd w:val="clear" w:color="auto" w:fill="FFFFFF" w:themeFill="background1"/>
              <w:jc w:val="center"/>
            </w:pPr>
            <w:r>
              <w:t>3.</w:t>
            </w:r>
            <w:r w:rsidR="006E03E9">
              <w:t>5</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6E03E9">
              <w:t>Пермском У</w:t>
            </w:r>
            <w:r w:rsidRPr="00DB74CD">
              <w:t>ФАС России и организация проверки таких фактов</w:t>
            </w:r>
          </w:p>
        </w:tc>
        <w:tc>
          <w:tcPr>
            <w:tcW w:w="2321" w:type="dxa"/>
          </w:tcPr>
          <w:p w:rsidR="006E03E9" w:rsidRDefault="006E03E9" w:rsidP="00DB74CD">
            <w:pPr>
              <w:shd w:val="clear" w:color="auto" w:fill="FFFFFF" w:themeFill="background1"/>
              <w:jc w:val="center"/>
            </w:pPr>
            <w:r>
              <w:t>Пресс-секретарь</w:t>
            </w:r>
          </w:p>
          <w:p w:rsidR="00FF45AA" w:rsidRPr="00DB74CD" w:rsidRDefault="006E03E9"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rsidR="006E03E9">
              <w:t>Пермского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C0" w:rsidRDefault="00AF29C0">
      <w:r>
        <w:separator/>
      </w:r>
    </w:p>
  </w:endnote>
  <w:endnote w:type="continuationSeparator" w:id="1">
    <w:p w:rsidR="00AF29C0" w:rsidRDefault="00AF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B7" w:rsidRDefault="00F332F2">
    <w:pPr>
      <w:pStyle w:val="a6"/>
      <w:jc w:val="right"/>
    </w:pPr>
    <w:r>
      <w:fldChar w:fldCharType="begin"/>
    </w:r>
    <w:r w:rsidR="003B5AB7">
      <w:instrText xml:space="preserve"> PAGE   \* MERGEFORMAT </w:instrText>
    </w:r>
    <w:r>
      <w:fldChar w:fldCharType="separate"/>
    </w:r>
    <w:r w:rsidR="001E3133">
      <w:rPr>
        <w:noProof/>
      </w:rPr>
      <w:t>7</w:t>
    </w:r>
    <w:r>
      <w:rPr>
        <w:noProof/>
      </w:rPr>
      <w:fldChar w:fldCharType="end"/>
    </w:r>
  </w:p>
  <w:p w:rsidR="003B5AB7" w:rsidRDefault="003B5A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C0" w:rsidRDefault="00AF29C0">
      <w:r>
        <w:separator/>
      </w:r>
    </w:p>
  </w:footnote>
  <w:footnote w:type="continuationSeparator" w:id="1">
    <w:p w:rsidR="00AF29C0" w:rsidRDefault="00AF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30декабря</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09BA"/>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D1D5D"/>
    <w:rsid w:val="001D7794"/>
    <w:rsid w:val="001E2633"/>
    <w:rsid w:val="001E3133"/>
    <w:rsid w:val="001E5041"/>
    <w:rsid w:val="001E5F41"/>
    <w:rsid w:val="001E6C38"/>
    <w:rsid w:val="001E772C"/>
    <w:rsid w:val="001E7B78"/>
    <w:rsid w:val="001F4F3C"/>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0A85"/>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03E9"/>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4DFD"/>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7E21"/>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9C0"/>
    <w:rsid w:val="00AF2B6B"/>
    <w:rsid w:val="00AF32BE"/>
    <w:rsid w:val="00AF3A4F"/>
    <w:rsid w:val="00AF3B87"/>
    <w:rsid w:val="00AF4DF1"/>
    <w:rsid w:val="00AF68CB"/>
    <w:rsid w:val="00AF7075"/>
    <w:rsid w:val="00AF7253"/>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285B"/>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2F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6000-77A2-4959-9DA3-C2E4132E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a01</cp:lastModifiedBy>
  <cp:revision>4</cp:revision>
  <cp:lastPrinted>2018-06-21T05:06:00Z</cp:lastPrinted>
  <dcterms:created xsi:type="dcterms:W3CDTF">2018-06-21T03:45:00Z</dcterms:created>
  <dcterms:modified xsi:type="dcterms:W3CDTF">2018-06-25T05:42:00Z</dcterms:modified>
</cp:coreProperties>
</file>